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jc w:val="center"/>
        <w:rPr/>
      </w:pPr>
      <w:bookmarkStart w:id="0" w:name="_Ref353189530"/>
      <w:bookmarkEnd w:id="0"/>
      <w:r>
        <w:rPr>
          <w:rFonts w:eastAsia="Times New Roman" w:cs="Times New Roman" w:ascii="Times New Roman" w:hAnsi="Times New Roman"/>
          <w:b/>
          <w:caps/>
          <w:sz w:val="24"/>
          <w:szCs w:val="24"/>
          <w:lang w:eastAsia="ru-RU"/>
        </w:rPr>
        <w:t>муниципальный</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aps/>
          <w:sz w:val="24"/>
          <w:szCs w:val="24"/>
          <w:lang w:eastAsia="ru-RU"/>
        </w:rPr>
        <w:t xml:space="preserve">КОНТРАКТ №  0127300011417000028-0107131-01  </w:t>
      </w:r>
    </w:p>
    <w:p>
      <w:pPr>
        <w:pStyle w:val="Normal"/>
        <w:spacing w:lineRule="auto" w:line="240" w:before="0" w:after="60"/>
        <w:jc w:val="center"/>
        <w:rPr>
          <w:rFonts w:ascii="Times New Roman" w:hAnsi="Times New Roman" w:eastAsia="Times New Roman" w:cs="Times New Roman"/>
          <w:b/>
          <w:b/>
          <w:caps/>
          <w:sz w:val="24"/>
          <w:szCs w:val="24"/>
          <w:lang w:eastAsia="ru-RU"/>
        </w:rPr>
      </w:pPr>
      <w:r>
        <w:rPr>
          <w:rFonts w:eastAsia="Times New Roman" w:cs="Times New Roman" w:ascii="Times New Roman" w:hAnsi="Times New Roman"/>
          <w:b/>
          <w:bCs/>
          <w:caps/>
          <w:sz w:val="24"/>
          <w:szCs w:val="24"/>
          <w:lang w:eastAsia="ru-RU"/>
        </w:rPr>
        <w:t>благоустройство дворовой территории: ул. Жданова 1.</w:t>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ИКЗ:</w:t>
      </w:r>
      <w:r>
        <w:rPr/>
        <w:t xml:space="preserve"> </w:t>
      </w:r>
      <w:r>
        <w:rPr>
          <w:rFonts w:eastAsia="Times New Roman" w:cs="Times New Roman" w:ascii="Times New Roman" w:hAnsi="Times New Roman"/>
          <w:sz w:val="24"/>
          <w:szCs w:val="24"/>
          <w:lang w:eastAsia="ru-RU"/>
        </w:rPr>
        <w:t>173322300095532520100100330074399244</w:t>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540" w:leader="none"/>
        </w:tabs>
        <w:spacing w:lineRule="auto" w:line="240" w:before="0" w:after="60"/>
        <w:jc w:val="both"/>
        <w:rPr/>
      </w:pPr>
      <w:r>
        <w:rPr>
          <w:rFonts w:eastAsia="Times New Roman" w:cs="Times New Roman" w:ascii="Times New Roman" w:hAnsi="Times New Roman"/>
          <w:sz w:val="24"/>
          <w:szCs w:val="24"/>
          <w:lang w:eastAsia="ru-RU"/>
        </w:rPr>
        <w:t>пгт. Погар</w:t>
        <w:tab/>
        <w:tab/>
        <w:tab/>
        <w:tab/>
        <w:tab/>
        <w:tab/>
        <w:t xml:space="preserve">  </w:t>
        <w:tab/>
        <w:t xml:space="preserve">       </w:t>
        <w:tab/>
        <w:t xml:space="preserve"> «</w:t>
      </w:r>
      <w:r>
        <w:rPr>
          <w:rFonts w:eastAsia="Times New Roman" w:cs="Times New Roman" w:ascii="Times New Roman" w:hAnsi="Times New Roman"/>
          <w:sz w:val="24"/>
          <w:szCs w:val="24"/>
          <w:lang w:eastAsia="ru-RU"/>
        </w:rPr>
        <w:t>28</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августа </w:t>
      </w:r>
      <w:r>
        <w:rPr>
          <w:rFonts w:eastAsia="Times New Roman" w:cs="Times New Roman" w:ascii="Times New Roman" w:hAnsi="Times New Roman"/>
          <w:sz w:val="24"/>
          <w:szCs w:val="24"/>
          <w:lang w:eastAsia="ru-RU"/>
        </w:rPr>
        <w:t>2017.г</w:t>
        <w:tab/>
      </w:r>
    </w:p>
    <w:p>
      <w:pPr>
        <w:pStyle w:val="Normal"/>
        <w:tabs>
          <w:tab w:val="left" w:pos="540" w:leader="none"/>
        </w:tabs>
        <w:spacing w:lineRule="auto" w:line="240" w:before="0" w:after="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ab/>
        <w:t>Администрация Погарского района, в лице главы администрации Цыганок Сергея Ивановича, действующей на основании Устава, именуемый в дальнейшем «Заказчик», с одной стороны, и Общество с ограниченной ответственностью «Погаравтодорстрой», именуемое в дальнейшем Подрядчик, в лице генерального директора Ласуновой Светланы Ивановны, действующего на основании Устава</w:t>
      </w:r>
      <w:r>
        <w:rPr>
          <w:rFonts w:eastAsia="Times New Roman" w:cs="Times New Roman" w:ascii="Times New Roman" w:hAnsi="Times New Roman"/>
          <w:color w:val="000000"/>
          <w:sz w:val="24"/>
          <w:szCs w:val="24"/>
          <w:lang w:eastAsia="ru-RU"/>
        </w:rPr>
        <w:t xml:space="preserve">, именуемый в дальнейшем «Подрядчик» с </w:t>
      </w:r>
      <w:r>
        <w:rPr>
          <w:rFonts w:eastAsia="Times New Roman" w:cs="Times New Roman" w:ascii="Times New Roman" w:hAnsi="Times New Roman"/>
          <w:sz w:val="24"/>
          <w:szCs w:val="24"/>
          <w:lang w:eastAsia="ru-RU"/>
        </w:rPr>
        <w:t xml:space="preserve">другой стороны, совместно именуемые в дальнейшем «Стороны», </w:t>
      </w:r>
      <w:r>
        <w:rPr>
          <w:rFonts w:eastAsia="Times New Roman" w:cs="Times New Roman" w:ascii="Times New Roman" w:hAnsi="Times New Roman"/>
          <w:color w:val="000000"/>
          <w:sz w:val="24"/>
          <w:szCs w:val="24"/>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нужд»(далее по тексту -</w:t>
      </w:r>
      <w:r>
        <w:rPr/>
        <w:t xml:space="preserve"> </w:t>
      </w:r>
      <w:r>
        <w:rPr>
          <w:rFonts w:eastAsia="Times New Roman" w:cs="Times New Roman" w:ascii="Times New Roman" w:hAnsi="Times New Roman"/>
          <w:color w:val="000000"/>
          <w:sz w:val="24"/>
          <w:szCs w:val="24"/>
          <w:lang w:eastAsia="ru-RU"/>
        </w:rPr>
        <w:t>Федеральный закон от 05.04.2013 № 44-ФЗ) и на основании Протокола заседания Единой комиссии от «15» августа 2017г. № 0127300011417000028 заключили настоящий Муниципальный контракт (далее контракт) о  нижеследующем:</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ПРЕДМЕТ КОНТРАКТА</w:t>
      </w:r>
    </w:p>
    <w:p>
      <w:pPr>
        <w:pStyle w:val="Normal"/>
        <w:suppressAutoHyphens w:val="true"/>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r>
        <w:rPr>
          <w:rFonts w:eastAsia="Arial Unicode MS" w:cs="Times New Roman" w:ascii="Times New Roman" w:hAnsi="Times New Roman"/>
          <w:color w:val="000000"/>
          <w:sz w:val="24"/>
          <w:szCs w:val="24"/>
          <w:lang w:eastAsia="ru-RU"/>
        </w:rPr>
        <w:t xml:space="preserve"> 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дворовой территории: ул. Жданова 1, в рамках реализации муниципальной программы "Формирование современной городской среды», </w:t>
      </w:r>
      <w:r>
        <w:rPr>
          <w:rFonts w:eastAsia="Times New Roman" w:cs="Times New Roman" w:ascii="Times New Roman" w:hAnsi="Times New Roman"/>
          <w:sz w:val="24"/>
          <w:szCs w:val="24"/>
          <w:lang w:eastAsia="ru-RU"/>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1.2. </w:t>
      </w:r>
      <w:r>
        <w:rPr>
          <w:rFonts w:eastAsia="Times New Roman" w:cs="Times New Roman" w:ascii="Times New Roman" w:hAnsi="Times New Roman"/>
          <w:lang w:eastAsia="zh-CN"/>
        </w:rPr>
        <w:t>Срок исполнения Подрядчиком своих обязательств по настоящему Контракту  до 30.10.2017г.</w:t>
      </w:r>
    </w:p>
    <w:p>
      <w:pPr>
        <w:pStyle w:val="Normal"/>
        <w:spacing w:lineRule="auto" w:line="240" w:before="0" w:after="60"/>
        <w:ind w:right="40" w:firstLine="54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1.3. Выполнение работ осуществляется по адресу: Брянская обл, пгт.Погар, </w:t>
      </w:r>
      <w:r>
        <w:rPr>
          <w:rFonts w:eastAsia="Times New Roman" w:cs="Times New Roman" w:ascii="Times New Roman" w:hAnsi="Times New Roman"/>
          <w:b/>
          <w:bCs/>
          <w:sz w:val="24"/>
          <w:szCs w:val="24"/>
          <w:lang w:eastAsia="ru-RU"/>
        </w:rPr>
        <w:t>ул. Жданова 1.</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Все работы выполняются силами Подрядчика, из его материалов и средств.</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360" w:leader="none"/>
          <w:tab w:val="left" w:pos="900" w:leader="none"/>
        </w:tabs>
        <w:spacing w:lineRule="auto" w:line="240" w:before="0" w:after="0"/>
        <w:ind w:firstLine="540"/>
        <w:jc w:val="center"/>
        <w:rPr>
          <w:rFonts w:ascii="Times New Roman" w:hAnsi="Times New Roman" w:eastAsia="Calibri" w:cs="Times New Roman"/>
          <w:b/>
          <w:b/>
          <w:color w:val="0000FF"/>
          <w:sz w:val="24"/>
          <w:szCs w:val="24"/>
          <w:lang w:eastAsia="ru-RU"/>
        </w:rPr>
      </w:pPr>
      <w:r>
        <w:rPr>
          <w:rFonts w:eastAsia="Calibri" w:cs="Times New Roman" w:ascii="Times New Roman" w:hAnsi="Times New Roman"/>
          <w:b/>
          <w:sz w:val="24"/>
          <w:szCs w:val="24"/>
          <w:lang w:eastAsia="ru-RU"/>
        </w:rPr>
        <w:t>2.  ПРАВА И ОБЯЗАННОСТИ СТОРОН</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 Подрядчик обязуется: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pPr>
        <w:pStyle w:val="Normal"/>
        <w:shd w:val="clear" w:color="auto" w:fill="FFFFFF"/>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pPr>
        <w:pStyle w:val="Normal"/>
        <w:shd w:val="clear" w:color="auto" w:fill="FFFFFF"/>
        <w:tabs>
          <w:tab w:val="left" w:pos="360" w:leader="none"/>
        </w:tabs>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любом случае Подрядчик несет прямую ответственность за качество и сроки выполняемых субподрядчиками работ.</w:t>
      </w:r>
    </w:p>
    <w:p>
      <w:pPr>
        <w:pStyle w:val="Normal"/>
        <w:shd w:val="clear" w:color="auto" w:fill="FFFFFF"/>
        <w:tabs>
          <w:tab w:val="left" w:pos="540" w:leader="none"/>
        </w:tabs>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pPr>
        <w:pStyle w:val="Normal"/>
        <w:shd w:val="clear" w:color="auto" w:fill="FFFFFF"/>
        <w:tabs>
          <w:tab w:val="left" w:pos="540" w:leader="none"/>
        </w:tabs>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pPr>
        <w:pStyle w:val="Normal"/>
        <w:tabs>
          <w:tab w:val="left" w:pos="540" w:leader="none"/>
        </w:tabs>
        <w:spacing w:lineRule="auto" w:line="240" w:before="0" w:after="12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pPr>
        <w:pStyle w:val="Normal"/>
        <w:tabs>
          <w:tab w:val="left" w:pos="540" w:leader="none"/>
        </w:tabs>
        <w:spacing w:lineRule="auto" w:line="240" w:before="0" w:after="12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Передать вместе с Работами необходимую техническую и иную документацию, снабженную переводом на русский язык.</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2.1.9. Допускать представителей Заказчика для проверки выполнения контракта и качества работ, представлять Заказчику необходимую информацию.</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2.1.10. По окончании работ сдать результаты работы Заказчику и подготовить акт выполненных работ (КС-2), (КС-3),  счет-фактуру.</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pPr>
        <w:pStyle w:val="Normal"/>
        <w:spacing w:lineRule="auto" w:line="240" w:before="0" w:after="60"/>
        <w:ind w:left="72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Заказчик обязуется: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 Проводить проверки Подрядчика по организации им производства работ и контроля качества на объекте.</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2.2.4.Принять и оплатить выполненные работы в порядке и на условиях установленных настоящим контрактом.</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3.  ЦЕНА КОНТРАКТА   И ПОРЯДОК РАСЧЕТА</w:t>
      </w:r>
    </w:p>
    <w:p>
      <w:pPr>
        <w:pStyle w:val="Normal"/>
        <w:spacing w:lineRule="auto" w:line="240" w:before="0" w:after="60"/>
        <w:ind w:firstLine="540"/>
        <w:jc w:val="both"/>
        <w:rPr>
          <w:rFonts w:ascii="Times New Roman" w:hAnsi="Times New Roman"/>
          <w:szCs w:val="24"/>
        </w:rPr>
      </w:pPr>
      <w:r>
        <w:rPr>
          <w:rFonts w:eastAsia="Times New Roman" w:cs="Times New Roman" w:ascii="Times New Roman" w:hAnsi="Times New Roman"/>
          <w:color w:val="000000"/>
          <w:sz w:val="24"/>
          <w:szCs w:val="24"/>
          <w:lang w:eastAsia="ru-RU"/>
        </w:rPr>
        <w:t xml:space="preserve">3.1. Цена Контракта  составляет  </w:t>
      </w:r>
      <w:r>
        <w:rPr>
          <w:rFonts w:eastAsia="Times New Roman" w:cs="Times New Roman" w:ascii="Times New Roman" w:hAnsi="Times New Roman"/>
          <w:b/>
          <w:color w:val="000000"/>
          <w:sz w:val="24"/>
          <w:szCs w:val="24"/>
          <w:lang w:eastAsia="ru-RU"/>
        </w:rPr>
        <w:t>797 828,05 рублей</w:t>
      </w:r>
      <w:r>
        <w:rPr>
          <w:rFonts w:eastAsia="Times New Roman" w:cs="Times New Roman" w:ascii="Times New Roman" w:hAnsi="Times New Roman"/>
          <w:color w:val="000000"/>
          <w:sz w:val="24"/>
          <w:szCs w:val="24"/>
          <w:lang w:eastAsia="ru-RU"/>
        </w:rPr>
        <w:t xml:space="preserve"> (Семьсот девяносто семь тысяч восемьсот двадцать восемь рублей,05 копеек). Без</w:t>
      </w:r>
      <w:r>
        <w:rPr>
          <w:rFonts w:ascii="Times New Roman" w:hAnsi="Times New Roman"/>
          <w:szCs w:val="24"/>
        </w:rPr>
        <w:t xml:space="preserve"> НДС. </w:t>
      </w:r>
    </w:p>
    <w:p>
      <w:pPr>
        <w:pStyle w:val="Normal"/>
        <w:spacing w:lineRule="auto" w:line="240" w:before="0" w:after="60"/>
        <w:ind w:firstLine="540"/>
        <w:jc w:val="both"/>
        <w:rPr>
          <w:rFonts w:ascii="Times New Roman" w:hAnsi="Times New Roman"/>
          <w:szCs w:val="24"/>
        </w:rPr>
      </w:pPr>
      <w:r>
        <w:rPr>
          <w:rFonts w:ascii="Times New Roman" w:hAnsi="Times New Roman"/>
          <w:szCs w:val="24"/>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pPr>
        <w:pStyle w:val="Normal"/>
        <w:spacing w:lineRule="auto" w:line="240" w:before="0" w:after="60"/>
        <w:ind w:firstLine="540"/>
        <w:jc w:val="both"/>
        <w:rPr>
          <w:rFonts w:ascii="Times New Roman" w:hAnsi="Times New Roman"/>
          <w:szCs w:val="24"/>
        </w:rPr>
      </w:pPr>
      <w:r>
        <w:rPr>
          <w:rFonts w:ascii="Times New Roman" w:hAnsi="Times New Roman"/>
          <w:szCs w:val="24"/>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 В случае,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3.1.4. В случае,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2.2 настоящего Контракта.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3.2.  </w:t>
      </w:r>
      <w:r>
        <w:rPr>
          <w:rFonts w:eastAsia="Times New Roman" w:cs="Times New Roman" w:ascii="Times New Roman" w:hAnsi="Times New Roman"/>
          <w:sz w:val="24"/>
          <w:szCs w:val="24"/>
          <w:lang w:eastAsia="ru-RU"/>
        </w:rPr>
        <w:t xml:space="preserve">Источник финансирования:  Средства местного бюджета. </w:t>
      </w:r>
    </w:p>
    <w:p>
      <w:pPr>
        <w:pStyle w:val="Normal"/>
        <w:spacing w:lineRule="auto" w:line="240" w:before="0" w:after="60"/>
        <w:ind w:firstLine="540"/>
        <w:jc w:val="both"/>
        <w:rPr>
          <w:rFonts w:ascii="Times New Roman" w:hAnsi="Times New Roman" w:eastAsia="Calibri" w:cs="Times New Roman"/>
          <w:sz w:val="24"/>
          <w:szCs w:val="24"/>
          <w:lang w:eastAsia="ru-RU"/>
        </w:rPr>
      </w:pPr>
      <w:r>
        <w:rPr>
          <w:rFonts w:eastAsia="Times New Roman" w:cs="Times New Roman" w:ascii="Times New Roman" w:hAnsi="Times New Roman"/>
          <w:color w:val="000000"/>
          <w:sz w:val="24"/>
          <w:szCs w:val="24"/>
          <w:lang w:eastAsia="ru-RU"/>
        </w:rPr>
        <w:t xml:space="preserve">3.3. </w:t>
      </w:r>
      <w:bookmarkStart w:id="1" w:name="OLE_LINK38"/>
      <w:bookmarkStart w:id="2" w:name="OLE_LINK37"/>
      <w:bookmarkStart w:id="3" w:name="OLE_LINK36"/>
      <w:r>
        <w:rPr>
          <w:rFonts w:eastAsia="Times New Roman" w:cs="Times New Roman" w:ascii="Times New Roman" w:hAnsi="Times New Roman"/>
          <w:sz w:val="24"/>
          <w:szCs w:val="24"/>
          <w:lang w:eastAsia="ru-RU"/>
        </w:rPr>
        <w:t xml:space="preserve">Оплата производится путем перечисления денежных средств на счет Подрядчика </w:t>
      </w:r>
      <w:bookmarkEnd w:id="1"/>
      <w:bookmarkEnd w:id="2"/>
      <w:bookmarkEnd w:id="3"/>
      <w:r>
        <w:rPr>
          <w:rFonts w:eastAsia="Calibri" w:cs="Times New Roman" w:ascii="Times New Roman" w:hAnsi="Times New Roman"/>
          <w:sz w:val="24"/>
          <w:szCs w:val="24"/>
          <w:lang w:eastAsia="ru-RU"/>
        </w:rPr>
        <w:t>за фактически выполненный объем работ в течение 30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 В случае,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Федерального закона от 05.04.2013 № 44-ФЗ.</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 ОТВЕТСТВЕННОСТЬ СТОРОН</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определяемой   в соответствии и в  порядке,  установленном Постановлением Правительства РФ №1063 от 25.11.2013г., а именно:  </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2,5 процента цены Контракта в случае, если цена Контракта не превышает 3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2 процента цены Контракта в случае, если цена Контракта составляет от 3 млн. рублей до 50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1,5 процента цены Контракта в случае, если цена Контракта составляет от 50 млн. рублей до 100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0,5 процента цены Контракта в случае, если цена Контракта превышает 100 млн. рублей.</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Сумма штрафа, начисляемая Заказчику в рамках настоящего Контракта, составит </w:t>
      </w:r>
      <w:r>
        <w:rPr>
          <w:rFonts w:eastAsia="Times New Roman" w:cs="Times New Roman" w:ascii="Times New Roman" w:hAnsi="Times New Roman"/>
          <w:b/>
          <w:sz w:val="24"/>
          <w:szCs w:val="24"/>
          <w:lang w:eastAsia="ru-RU"/>
        </w:rPr>
        <w:t>19 945,70 рублей</w:t>
      </w:r>
      <w:r>
        <w:rPr>
          <w:rFonts w:eastAsia="Times New Roman" w:cs="Times New Roman" w:ascii="Times New Roman" w:hAnsi="Times New Roman"/>
          <w:sz w:val="24"/>
          <w:szCs w:val="24"/>
          <w:lang w:eastAsia="ru-RU"/>
        </w:rPr>
        <w:t>, что составляет 2,5 % от цены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eastAsia="Times New Roman" w:cs="Times New Roman" w:ascii="Times New Roman" w:hAnsi="Times New Roman"/>
          <w:color w:val="000000"/>
          <w:sz w:val="24"/>
          <w:szCs w:val="24"/>
          <w:lang w:eastAsia="ru-RU"/>
        </w:rPr>
        <w:t xml:space="preserve">Подрядчиком и определяется по формуле: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П = (Ц - В) x С</w:t>
      </w:r>
      <w:r>
        <w:rPr>
          <w:rFonts w:eastAsia="Times New Roman" w:cs="Times New Roman" w:ascii="Times New Roman" w:hAnsi="Times New Roman"/>
          <w:color w:val="000000"/>
          <w:sz w:val="24"/>
          <w:szCs w:val="24"/>
          <w:lang w:eastAsia="ru-RU"/>
        </w:rPr>
        <w:t>, где:</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 - цена контракта;</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 размер ставки.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Размер ставки определяется по формуле: </w:t>
      </w:r>
      <w:r>
        <w:rPr>
          <w:rFonts w:eastAsia="Times New Roman" w:cs="Times New Roman" w:ascii="Times New Roman" w:hAnsi="Times New Roman"/>
          <w:color w:val="000000"/>
          <w:sz w:val="24"/>
          <w:szCs w:val="24"/>
          <w:lang w:eastAsia="ru-RU"/>
        </w:rPr>
        <w:drawing>
          <wp:inline distT="0" distB="0" distL="0" distR="9525">
            <wp:extent cx="1076325" cy="28575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1076325" cy="285750"/>
                    </a:xfrm>
                    <a:prstGeom prst="rect">
                      <a:avLst/>
                    </a:prstGeom>
                  </pic:spPr>
                </pic:pic>
              </a:graphicData>
            </a:graphic>
          </wp:inline>
        </w:drawing>
      </w:r>
      <w:r>
        <w:rPr>
          <w:rFonts w:eastAsia="Times New Roman" w:cs="Times New Roman" w:ascii="Times New Roman" w:hAnsi="Times New Roman"/>
          <w:color w:val="000000"/>
          <w:position w:val="-13"/>
          <w:sz w:val="24"/>
          <w:szCs w:val="24"/>
          <w:lang w:eastAsia="ru-RU"/>
        </w:rPr>
        <w:t xml:space="preserve"> </w:t>
      </w:r>
      <w:r>
        <w:rPr>
          <w:rFonts w:eastAsia="Times New Roman" w:cs="Times New Roman" w:ascii="Times New Roman" w:hAnsi="Times New Roman"/>
          <w:color w:val="000000"/>
          <w:sz w:val="24"/>
          <w:szCs w:val="24"/>
          <w:lang w:eastAsia="ru-RU"/>
        </w:rPr>
        <w:t xml:space="preserve">,где:  </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drawing>
          <wp:inline distT="0" distB="0" distL="0" distR="0">
            <wp:extent cx="295275" cy="2857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295275" cy="285750"/>
                    </a:xfrm>
                    <a:prstGeom prst="rect">
                      <a:avLst/>
                    </a:prstGeom>
                  </pic:spPr>
                </pic:pic>
              </a:graphicData>
            </a:graphic>
          </wp:inline>
        </w:drawing>
      </w:r>
      <w:r>
        <w:rPr>
          <w:rFonts w:eastAsia="Times New Roman" w:cs="Times New Roman" w:ascii="Times New Roman" w:hAnsi="Times New Roman"/>
          <w:color w:val="000000"/>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ДП - количество дней просрочки.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Коэффициент К определяется по формуле:</w:t>
      </w:r>
      <w:r>
        <w:rPr/>
        <w:t xml:space="preserve"> </w:t>
      </w:r>
      <w:r>
        <w:rPr/>
        <w:drawing>
          <wp:inline distT="0" distB="0" distL="0" distR="9525">
            <wp:extent cx="1285875" cy="45720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1285875" cy="457200"/>
                    </a:xfrm>
                    <a:prstGeom prst="rect">
                      <a:avLst/>
                    </a:prstGeom>
                  </pic:spPr>
                </pic:pic>
              </a:graphicData>
            </a:graphic>
          </wp:inline>
        </w:drawing>
      </w:r>
      <w:r>
        <w:rPr>
          <w:rFonts w:eastAsia="Times New Roman" w:cs="Times New Roman" w:ascii="Times New Roman" w:hAnsi="Times New Roman"/>
          <w:color w:val="000000"/>
          <w:sz w:val="24"/>
          <w:szCs w:val="24"/>
          <w:lang w:eastAsia="ru-RU"/>
        </w:rPr>
        <w:t>,где:</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ДП - количество дней просрочки;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ДК - срок исполнения обязательства по контракту (количество дней).</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Штрафы начисляются за неисполнение или ненадлежащее исполнение </w:t>
      </w:r>
      <w:r>
        <w:rPr>
          <w:rFonts w:eastAsia="Times New Roman" w:cs="Times New Roman" w:ascii="Times New Roman" w:hAnsi="Times New Roman"/>
          <w:color w:val="000000"/>
          <w:sz w:val="24"/>
          <w:szCs w:val="24"/>
          <w:lang w:eastAsia="ru-RU"/>
        </w:rPr>
        <w:t xml:space="preserve"> Подрядчиком</w:t>
      </w:r>
      <w:r>
        <w:rPr>
          <w:rFonts w:eastAsia="Times New Roman" w:cs="Times New Roman" w:ascii="Times New Roman" w:hAnsi="Times New Roman"/>
          <w:sz w:val="24"/>
          <w:szCs w:val="24"/>
          <w:lang w:eastAsia="ru-RU"/>
        </w:rPr>
        <w:t xml:space="preserve"> обязательств, предусмотренных контрактом, за исключением просрочки исполнения </w:t>
      </w:r>
      <w:r>
        <w:rPr>
          <w:rFonts w:eastAsia="Times New Roman" w:cs="Times New Roman" w:ascii="Times New Roman" w:hAnsi="Times New Roman"/>
          <w:color w:val="000000"/>
          <w:sz w:val="24"/>
          <w:szCs w:val="24"/>
          <w:lang w:eastAsia="ru-RU"/>
        </w:rPr>
        <w:t>Подрядчиком</w:t>
      </w:r>
      <w:r>
        <w:rPr>
          <w:rFonts w:eastAsia="Times New Roman" w:cs="Times New Roman" w:ascii="Times New Roman" w:hAnsi="Times New Roman"/>
          <w:sz w:val="24"/>
          <w:szCs w:val="24"/>
          <w:lang w:eastAsia="ru-RU"/>
        </w:rPr>
        <w:t xml:space="preserve">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25.11.2013 №1063, а именно:  </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10 процентов цены Контракта в случае, если цена Контракта не превышает 3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5 процентов цены Контракта в случае, если цена Контракта составляет от 3 млн. рублей до 50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1 процент цены Контракта в случае, если цена Контракта составляет от 50 млн. рублей до 100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0,5 процента цены Контракта в случае, если цена Контракта превышает 100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Сумма штрафа, начисляемая Подрядчику  в рамках настоящего Контракта, составит </w:t>
      </w:r>
      <w:r>
        <w:rPr>
          <w:rFonts w:eastAsia="Times New Roman" w:cs="Times New Roman" w:ascii="Times New Roman" w:hAnsi="Times New Roman"/>
          <w:b/>
          <w:sz w:val="24"/>
          <w:szCs w:val="24"/>
          <w:lang w:eastAsia="ru-RU"/>
        </w:rPr>
        <w:t>79 782,80 рублей</w:t>
      </w:r>
      <w:r>
        <w:rPr>
          <w:rFonts w:eastAsia="Times New Roman" w:cs="Times New Roman" w:ascii="Times New Roman" w:hAnsi="Times New Roman"/>
          <w:sz w:val="24"/>
          <w:szCs w:val="24"/>
          <w:lang w:eastAsia="ru-RU"/>
        </w:rPr>
        <w:t>, что составляет 10 % от цены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Стороны освобождается от уплаты неустойки (штрафа, пени), если докажут, что неисполнение или ненадлежащее исполнение обязательств, предусмотренных контрактом, произошли вследствие непреодолимой силы или по вине другой Стороны.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Применение штрафных санкций не освобождает Стороны от выполнения принятых ими на себя обязательств по Контракту.</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spacing w:lineRule="auto" w:line="240" w:before="0" w:after="0"/>
        <w:ind w:firstLine="540"/>
        <w:jc w:val="center"/>
        <w:rPr>
          <w:rFonts w:ascii="Times New Roman" w:hAnsi="Times New Roman" w:eastAsia="Arial Unicode MS" w:cs="Times New Roman"/>
          <w:b/>
          <w:b/>
          <w:color w:val="000000"/>
          <w:sz w:val="24"/>
          <w:szCs w:val="24"/>
          <w:lang w:eastAsia="ru-RU"/>
        </w:rPr>
      </w:pPr>
      <w:r>
        <w:rPr>
          <w:rFonts w:eastAsia="Arial Unicode MS" w:cs="Times New Roman" w:ascii="Times New Roman" w:hAnsi="Times New Roman"/>
          <w:b/>
          <w:color w:val="000000"/>
          <w:sz w:val="24"/>
          <w:szCs w:val="24"/>
          <w:lang w:eastAsia="ru-RU"/>
        </w:rPr>
        <w:t>5. ПОРЯДОК СДАЧИ-ПРИЕМКИ ВЫПОЛНЕННЫХ РАБОТ</w:t>
      </w:r>
    </w:p>
    <w:p>
      <w:pPr>
        <w:pStyle w:val="Normal"/>
        <w:widowControl w:val="false"/>
        <w:suppressAutoHyphens w:val="true"/>
        <w:spacing w:lineRule="auto" w:line="240" w:before="0" w:after="0"/>
        <w:ind w:firstLine="540"/>
        <w:jc w:val="center"/>
        <w:rPr>
          <w:rFonts w:ascii="Times New Roman" w:hAnsi="Times New Roman" w:eastAsia="Arial Unicode MS" w:cs="Times New Roman"/>
          <w:b/>
          <w:b/>
          <w:color w:val="000000"/>
          <w:sz w:val="24"/>
          <w:szCs w:val="24"/>
          <w:lang w:eastAsia="ru-RU"/>
        </w:rPr>
      </w:pPr>
      <w:r>
        <w:rPr>
          <w:rFonts w:eastAsia="Arial Unicode MS" w:cs="Times New Roman" w:ascii="Times New Roman" w:hAnsi="Times New Roman"/>
          <w:b/>
          <w:color w:val="000000"/>
          <w:sz w:val="24"/>
          <w:szCs w:val="24"/>
          <w:lang w:eastAsia="ru-RU"/>
        </w:rPr>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5.1. Подрядчик обязан письменно уведомить Заказчика о завершении работ по настоящему контракту и готовности объекта к сдаче в эксплуатацию. Под готовым к сдаче в эксплуатацию объектом понимается объект, на котором в полном объеме выполнены все предусмотренные техническим заданием и локальными сметами работы.</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 Заказчик, получивший сообщение Подрядчика, приступает к приемке результата выполненных работ, назначает приемочную комиссию и обеспечивает участие в приемке представителей заинтересованных служб или отделов.</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5.2.1. При этом устанавливается следующий порядок:</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5.2.2. Заказчик не позднее 2 (двух) рабочих дней с момента получения актов о приемке выполненных работ по форме № КС – 2, производит соответствующую проверку.</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5.2.3.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5.2.4. При неисполнении подрядчиком обязательств предусмотренных п.5.2.1., 5.2.2., 5.2.3. выполненные работы Заказчиком не принимаются и рассматриваются после предоставления Подрядчиком необходимых документов.</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5.3.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5.5.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5.6.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pPr>
        <w:pStyle w:val="Normal"/>
        <w:keepNext/>
        <w:spacing w:lineRule="auto" w:line="36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6. ГАРАНТИЙНЫЕ ОБЯЗАТЕЛЬСТВА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6.2. Гарантии качества распространяются на все конструктивные элементы и работы, выполненные Подрядчиком и субподрядчиками по настоящему Контракту.</w:t>
      </w:r>
    </w:p>
    <w:p>
      <w:pPr>
        <w:pStyle w:val="Normal"/>
        <w:shd w:val="clear" w:color="auto" w:fill="FFFFFF"/>
        <w:tabs>
          <w:tab w:val="left" w:pos="9322" w:leader="underscore"/>
        </w:tabs>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6.3. Срок гарантии качества на выполненные работы составляет </w:t>
      </w:r>
      <w:r>
        <w:rPr>
          <w:rFonts w:eastAsia="Times New Roman" w:cs="Times New Roman" w:ascii="Times New Roman" w:hAnsi="Times New Roman"/>
          <w:bCs/>
          <w:color w:val="000000"/>
          <w:sz w:val="24"/>
          <w:szCs w:val="24"/>
          <w:lang w:eastAsia="ru-RU"/>
        </w:rPr>
        <w:t>3 года</w:t>
      </w:r>
      <w:r>
        <w:rPr>
          <w:rFonts w:eastAsia="Times New Roman" w:cs="Times New Roman" w:ascii="Times New Roman" w:hAnsi="Times New Roman"/>
          <w:color w:val="000000"/>
          <w:sz w:val="24"/>
          <w:szCs w:val="24"/>
          <w:lang w:eastAsia="ru-RU"/>
        </w:rPr>
        <w:t>,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6.4. Если в период гарантийной эксплуатации объекта обнаружаться дефекты, то Подрядчик обязан их устранить за свой счет в течение 28 дней, гарантийный срок при этом продлевается на период устранения дефектов.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 ИЗМЕНЕНИЕ, РАСТОРЖЕНИЕ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7.8. 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widowControl w:val="false"/>
        <w:spacing w:lineRule="auto" w:line="240" w:before="0" w:after="0"/>
        <w:ind w:firstLine="851"/>
        <w:jc w:val="both"/>
        <w:rPr>
          <w:rFonts w:ascii="Times New Roman" w:hAnsi="Times New Roman" w:eastAsia="Calibri" w:cs="Times New Roman"/>
          <w:lang w:eastAsia="ru-RU"/>
        </w:rPr>
      </w:pPr>
      <w:r>
        <w:rPr>
          <w:rFonts w:eastAsia="Calibri" w:cs="Times New Roman" w:ascii="Times New Roman" w:hAnsi="Times New Roman"/>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8. ПОРЯДОК РАЗРЕШЕНИЯ СПОРОВ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ru-RU"/>
        </w:rPr>
        <w:t>8</w:t>
      </w:r>
      <w:r>
        <w:rPr>
          <w:rFonts w:eastAsia="Times New Roman" w:cs="Times New Roman" w:ascii="Times New Roman" w:hAnsi="Times New Roman"/>
          <w:sz w:val="24"/>
          <w:szCs w:val="24"/>
          <w:lang w:eastAsia="zh-CN"/>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 До передачи спора на разрешение арбитражного суда  Стороны принимают меры к его урегулированию в претензионном порядке.</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8.3.2. Если претензионные требования подлежат денежной оценке, в претензии указывается истребуемая сумма и ее полный и обоснованный расчет.</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8.4. В случае невыполнения Сторонами своих обязательств и недостижения взаимного согласия споры по настоящему Контракту разрешаются в Арбитражном суде Брянской области.</w:t>
      </w:r>
    </w:p>
    <w:p>
      <w:pPr>
        <w:pStyle w:val="Normal"/>
        <w:widowControl w:val="false"/>
        <w:suppressAutoHyphens w:val="true"/>
        <w:spacing w:lineRule="auto" w:line="240" w:before="0" w:after="0"/>
        <w:ind w:firstLine="54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9.  ОБСТОЯТЕЛЬСТВА НЕПРЕОДОЛИМОЙ  СИЛЫ</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10. ОБЕСПЕЧЕНИЕ ИСПОЛНЕНИЯ КОНТРАКТА</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10.1. </w:t>
      </w:r>
      <w:r>
        <w:rPr>
          <w:rFonts w:eastAsia="Times New Roman" w:cs="Times New Roman" w:ascii="Times New Roman" w:hAnsi="Times New Roman"/>
          <w:bCs/>
          <w:color w:val="000000"/>
          <w:sz w:val="24"/>
          <w:szCs w:val="24"/>
          <w:lang w:eastAsia="ru-RU"/>
        </w:rPr>
        <w:t xml:space="preserve">Размер обеспечения исполнения контракта составляет 5% </w:t>
      </w:r>
      <w:r>
        <w:rPr>
          <w:rFonts w:eastAsia="Times New Roman" w:cs="Times New Roman" w:ascii="Times New Roman" w:hAnsi="Times New Roman"/>
          <w:color w:val="000000"/>
          <w:sz w:val="24"/>
          <w:szCs w:val="24"/>
          <w:lang w:eastAsia="ru-RU"/>
        </w:rPr>
        <w:t>от начальной (максимальной) цены</w:t>
      </w:r>
      <w:r>
        <w:rPr>
          <w:rFonts w:eastAsia="Times New Roman" w:cs="Times New Roman" w:ascii="Times New Roman" w:hAnsi="Times New Roman"/>
          <w:bCs/>
          <w:color w:val="000000"/>
          <w:sz w:val="24"/>
          <w:szCs w:val="24"/>
          <w:lang w:eastAsia="ru-RU"/>
        </w:rPr>
        <w:t xml:space="preserve"> контракта –  </w:t>
      </w:r>
      <w:r>
        <w:rPr>
          <w:rFonts w:eastAsia="Times New Roman" w:cs="Times New Roman" w:ascii="Times New Roman" w:hAnsi="Times New Roman"/>
          <w:b/>
          <w:bCs/>
          <w:color w:val="000000"/>
          <w:sz w:val="24"/>
          <w:szCs w:val="24"/>
          <w:lang w:eastAsia="ru-RU"/>
        </w:rPr>
        <w:t>41 990,95</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b/>
          <w:bCs/>
          <w:color w:val="000000"/>
          <w:sz w:val="24"/>
          <w:szCs w:val="24"/>
          <w:lang w:eastAsia="ru-RU"/>
        </w:rPr>
        <w:t>рублей</w:t>
      </w:r>
      <w:r>
        <w:rPr>
          <w:rFonts w:eastAsia="Times New Roman" w:cs="Times New Roman" w:ascii="Times New Roman" w:hAnsi="Times New Roman"/>
          <w:bCs/>
          <w:color w:val="000000"/>
          <w:sz w:val="24"/>
          <w:szCs w:val="24"/>
          <w:lang w:eastAsia="ru-RU"/>
        </w:rPr>
        <w:t>.</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Pr/>
        <w:t xml:space="preserve"> </w:t>
      </w:r>
      <w:r>
        <w:rPr>
          <w:rFonts w:eastAsia="Times New Roman" w:cs="Times New Roman" w:ascii="Times New Roman" w:hAnsi="Times New Roman"/>
          <w:bCs/>
          <w:color w:val="000000"/>
          <w:sz w:val="24"/>
          <w:szCs w:val="24"/>
          <w:lang w:eastAsia="ru-RU"/>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10.3. В случае,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10.4. </w:t>
      </w:r>
      <w:r>
        <w:rPr>
          <w:rFonts w:eastAsia="Times New Roman" w:cs="Times New Roman" w:ascii="Times New Roman" w:hAnsi="Times New Roman"/>
          <w:color w:val="000000"/>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10.5. </w:t>
      </w:r>
      <w:r>
        <w:rPr>
          <w:rFonts w:eastAsia="Times New Roman" w:cs="Times New Roman" w:ascii="Times New Roman" w:hAnsi="Times New Roman"/>
          <w:bCs/>
          <w:color w:val="000000"/>
          <w:sz w:val="24"/>
          <w:szCs w:val="24"/>
          <w:lang w:eastAsia="ru-RU"/>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 № 44-ФЗ. </w:t>
      </w:r>
      <w:r>
        <w:rPr>
          <w:rFonts w:eastAsia="Times New Roman" w:cs="Times New Roman" w:ascii="Times New Roman" w:hAnsi="Times New Roman"/>
          <w:color w:val="000000"/>
          <w:sz w:val="24"/>
          <w:szCs w:val="24"/>
          <w:lang w:eastAsia="ru-RU"/>
        </w:rPr>
        <w:t>Банковская гарантия должна быть безотзывной и должна содержать:</w:t>
      </w:r>
    </w:p>
    <w:p>
      <w:pPr>
        <w:pStyle w:val="Normal"/>
        <w:spacing w:lineRule="auto" w:line="240" w:before="0" w:after="60"/>
        <w:ind w:firstLine="540"/>
        <w:jc w:val="both"/>
        <w:rPr/>
      </w:pPr>
      <w:r>
        <w:rPr>
          <w:rFonts w:eastAsia="Times New Roman" w:cs="Times New Roman" w:ascii="Times New Roman" w:hAnsi="Times New Roman"/>
          <w:color w:val="000000"/>
          <w:sz w:val="24"/>
          <w:szCs w:val="24"/>
          <w:lang w:eastAsia="ru-RU"/>
        </w:rPr>
        <w:t xml:space="preserve">10.5.1. Сумму банковской гарантии, подлежащую уплате гарантом заказчику в установленных </w:t>
      </w:r>
      <w:hyperlink r:id="rId5">
        <w:r>
          <w:rPr>
            <w:rStyle w:val="Style15"/>
            <w:rFonts w:eastAsia="Times New Roman" w:cs="Times New Roman" w:ascii="Times New Roman" w:hAnsi="Times New Roman"/>
            <w:color w:val="000000"/>
            <w:sz w:val="24"/>
            <w:szCs w:val="24"/>
            <w:lang w:eastAsia="ru-RU"/>
          </w:rPr>
          <w:t>частью 13 статьи 44</w:t>
        </w:r>
      </w:hyperlink>
      <w:r>
        <w:rPr>
          <w:rFonts w:eastAsia="Times New Roman" w:cs="Times New Roman" w:ascii="Times New Roman" w:hAnsi="Times New Roman"/>
          <w:color w:val="000000"/>
          <w:sz w:val="24"/>
          <w:szCs w:val="24"/>
          <w:lang w:eastAsia="ru-RU"/>
        </w:rPr>
        <w:t xml:space="preserve">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r>
          <w:rPr>
            <w:rStyle w:val="Style15"/>
            <w:rFonts w:eastAsia="Times New Roman" w:cs="Times New Roman" w:ascii="Times New Roman" w:hAnsi="Times New Roman"/>
            <w:color w:val="000000"/>
            <w:sz w:val="24"/>
            <w:szCs w:val="24"/>
            <w:lang w:eastAsia="ru-RU"/>
          </w:rPr>
          <w:t>статьей 96</w:t>
        </w:r>
      </w:hyperlink>
      <w:r>
        <w:rPr>
          <w:rFonts w:eastAsia="Times New Roman" w:cs="Times New Roman" w:ascii="Times New Roman" w:hAnsi="Times New Roman"/>
          <w:color w:val="000000"/>
          <w:sz w:val="24"/>
          <w:szCs w:val="24"/>
          <w:lang w:eastAsia="ru-RU"/>
        </w:rPr>
        <w:t xml:space="preserve"> Федерального закона от 05.04.2013 № 44-ФЗ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уклонение или отказ участника закупки заключить контракт;</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10.5.2. Обязательства принципала, надлежащее исполнение которых обеспечивается банковской гарантией;</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10.5.3. Обязанность гаранта уплатить заказчику неустойку в размере 0,1 процента денежной суммы, подлежащей уплате, за каждый день просрочки;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10.5.5. Срок действия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spacing w:lineRule="auto" w:line="240" w:before="0" w:after="60"/>
        <w:ind w:firstLine="540"/>
        <w:jc w:val="both"/>
        <w:rPr/>
      </w:pPr>
      <w:r>
        <w:rPr>
          <w:rFonts w:eastAsia="Times New Roman" w:cs="Times New Roman" w:ascii="Times New Roman" w:hAnsi="Times New Roman"/>
          <w:bCs/>
          <w:color w:val="000000"/>
          <w:sz w:val="24"/>
          <w:szCs w:val="24"/>
          <w:lang w:eastAsia="ru-RU"/>
        </w:rPr>
        <w:t>10.5.7.</w:t>
      </w:r>
      <w:r>
        <w:rPr>
          <w:rFonts w:eastAsia="Times New Roman" w:cs="Times New Roman" w:ascii="Times New Roman" w:hAnsi="Times New Roman"/>
          <w:color w:val="000000"/>
          <w:sz w:val="24"/>
          <w:szCs w:val="24"/>
          <w:lang w:eastAsia="ru-RU"/>
        </w:rPr>
        <w:t xml:space="preserve"> Установленный Правительством Российской Федерации </w:t>
      </w:r>
      <w:hyperlink r:id="rId7">
        <w:r>
          <w:rPr>
            <w:rStyle w:val="Style15"/>
            <w:rFonts w:eastAsia="Times New Roman" w:cs="Times New Roman" w:ascii="Times New Roman" w:hAnsi="Times New Roman"/>
            <w:color w:val="000000"/>
            <w:sz w:val="24"/>
            <w:szCs w:val="24"/>
            <w:lang w:eastAsia="ru-RU"/>
          </w:rPr>
          <w:t>перечень</w:t>
        </w:r>
      </w:hyperlink>
      <w:r>
        <w:rPr>
          <w:rFonts w:eastAsia="Times New Roman" w:cs="Times New Roman" w:ascii="Times New Roman" w:hAnsi="Times New Roman"/>
          <w:color w:val="00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расчет суммы, включаемой в требование по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10.6. </w:t>
      </w:r>
      <w:r>
        <w:rPr>
          <w:rFonts w:eastAsia="Times New Roman" w:cs="Times New Roman" w:ascii="Times New Roman" w:hAnsi="Times New Roman"/>
          <w:bCs/>
          <w:color w:val="000000"/>
          <w:sz w:val="24"/>
          <w:szCs w:val="24"/>
          <w:lang w:eastAsia="ru-RU"/>
        </w:rPr>
        <w:t>Требования к обеспечению исполнения контракта, предоставляемому в виде денежных средств:</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ИНН 3223005343</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КПП 322301001</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р/с 40302810400013000199</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Отдел  УФК по Брянской области</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(Комитет по управлению муниципальным имуществом  л/с 05273010190)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Отделение Брянск г.Брянск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БИК 041501001</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В графе «назначение платежа» указывается: обеспечение исполнения муниципального контракта на выполнение работ по  благоустройству дворовой территории: ул. Жданова 1 в пгт. Погар, Брянской области</w:t>
      </w:r>
      <w:r>
        <w:rPr>
          <w:rFonts w:eastAsia="Times New Roman" w:cs="Times New Roman" w:ascii="Times New Roman" w:hAnsi="Times New Roman"/>
          <w:bCs/>
          <w:color w:val="000000"/>
          <w:sz w:val="24"/>
          <w:szCs w:val="24"/>
          <w:lang w:eastAsia="ru-RU"/>
        </w:rPr>
        <w:t>.</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10.6.2. Д</w:t>
      </w:r>
      <w:r>
        <w:rPr>
          <w:rFonts w:eastAsia="Times New Roman" w:cs="Times New Roman" w:ascii="Times New Roman" w:hAnsi="Times New Roman"/>
          <w:bCs/>
          <w:color w:val="000000"/>
          <w:sz w:val="24"/>
          <w:szCs w:val="24"/>
          <w:lang w:eastAsia="ru-RU"/>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10.6.3. Денежные средства возвращаются Подрядчику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10.7. </w:t>
      </w:r>
      <w:r>
        <w:rPr>
          <w:rFonts w:eastAsia="Times New Roman" w:cs="Times New Roman" w:ascii="Times New Roman" w:hAnsi="Times New Roman"/>
          <w:color w:val="000000"/>
          <w:sz w:val="24"/>
          <w:szCs w:val="24"/>
          <w:lang w:eastAsia="ru-RU"/>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11. АНТИДЕМПЕНГОВЫЕ МЕРЫ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11.1.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w:t>
      </w:r>
    </w:p>
    <w:p>
      <w:pPr>
        <w:pStyle w:val="Normal"/>
        <w:spacing w:lineRule="auto" w:line="240" w:before="0" w:after="60"/>
        <w:ind w:firstLine="540"/>
        <w:jc w:val="both"/>
        <w:rPr>
          <w:rFonts w:ascii="Arial" w:hAnsi="Arial" w:eastAsia="Times New Roman" w:cs="Arial"/>
          <w:sz w:val="20"/>
          <w:szCs w:val="20"/>
          <w:lang w:eastAsia="ru-RU"/>
        </w:rPr>
      </w:pPr>
      <w:r>
        <w:rPr>
          <w:rFonts w:eastAsia="Times New Roman" w:cs="Times New Roman" w:ascii="Times New Roman" w:hAnsi="Times New Roman"/>
          <w:sz w:val="24"/>
          <w:szCs w:val="24"/>
          <w:lang w:eastAsia="ru-RU"/>
        </w:rPr>
        <w:t>11.1.1</w:t>
      </w:r>
      <w:r>
        <w:rPr/>
        <w:t xml:space="preserve">. </w:t>
      </w:r>
      <w:r>
        <w:rPr>
          <w:rFonts w:eastAsia="Times New Roman" w:cs="Times New Roman"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11.2. Обеспечение  предоставляется Подрядчиком, с которым заключается контракт, до его заключения</w:t>
      </w:r>
      <w:r>
        <w:rPr>
          <w:rFonts w:eastAsia="Times New Roman" w:cs="Arial" w:ascii="Arial" w:hAnsi="Arial"/>
          <w:sz w:val="20"/>
          <w:szCs w:val="20"/>
          <w:lang w:eastAsia="ru-RU"/>
        </w:rPr>
        <w:t>.</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z w:val="24"/>
          <w:szCs w:val="24"/>
          <w:lang w:eastAsia="ru-RU"/>
        </w:rPr>
        <w:t xml:space="preserve">12.   </w:t>
      </w:r>
      <w:r>
        <w:rPr>
          <w:rFonts w:eastAsia="Times New Roman" w:cs="Times New Roman" w:ascii="Times New Roman" w:hAnsi="Times New Roman"/>
          <w:b/>
          <w:sz w:val="24"/>
          <w:szCs w:val="24"/>
          <w:lang w:eastAsia="ru-RU"/>
        </w:rPr>
        <w:t>ДЕЙСТВИЕ КОНТРАКТА</w:t>
      </w:r>
    </w:p>
    <w:p>
      <w:pPr>
        <w:pStyle w:val="Normal"/>
        <w:widowControl w:val="false"/>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color w:val="000000"/>
          <w:sz w:val="24"/>
          <w:szCs w:val="24"/>
          <w:lang w:eastAsia="ru-RU"/>
        </w:rPr>
        <w:t xml:space="preserve">12.1. </w:t>
      </w:r>
      <w:r>
        <w:rPr>
          <w:rFonts w:eastAsia="Times New Roman" w:cs="Times New Roman" w:ascii="Times New Roman" w:hAnsi="Times New Roman"/>
          <w:sz w:val="24"/>
          <w:szCs w:val="24"/>
          <w:lang w:eastAsia="ru-RU"/>
        </w:rPr>
        <w:t>Срок действия Контракта: со дня подписания его обеими сторонами и до 31.12.2017г. Окончание срока действия контракта не влечет прекращения неисполненных обязательств сторон, в том числе гарантийных обязательств подрядчика.</w:t>
      </w:r>
    </w:p>
    <w:p>
      <w:pPr>
        <w:pStyle w:val="Normal"/>
        <w:shd w:val="clear" w:color="auto" w:fill="FFFFFF"/>
        <w:tabs>
          <w:tab w:val="left" w:pos="734" w:leader="none"/>
          <w:tab w:val="left" w:pos="9533" w:leader="underscore"/>
        </w:tabs>
        <w:suppressAutoHyphens w:val="true"/>
        <w:spacing w:lineRule="auto" w:line="240" w:before="0" w:after="0"/>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 xml:space="preserve">12.2. Контракт составлен в двух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pacing w:val="-1"/>
          <w:sz w:val="24"/>
          <w:szCs w:val="24"/>
          <w:lang w:eastAsia="ru-RU"/>
        </w:rPr>
        <w:t>экземплярах, имеющих одинаковую юридическую силу.</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pPr>
        <w:pStyle w:val="Normal"/>
        <w:spacing w:lineRule="auto" w:line="240" w:before="0" w:after="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uppressAutoHyphens w:val="true"/>
        <w:spacing w:lineRule="auto" w:line="240" w:before="0" w:after="0"/>
        <w:ind w:left="142" w:hanging="0"/>
        <w:jc w:val="center"/>
        <w:rPr>
          <w:rFonts w:ascii="Times New Roman" w:hAnsi="Times New Roman" w:eastAsia="Times New Roman" w:cs="Times New Roman"/>
          <w:b/>
          <w:b/>
          <w:bCs/>
          <w:lang w:eastAsia="zh-CN"/>
        </w:rPr>
      </w:pPr>
      <w:r>
        <w:rPr>
          <w:rFonts w:eastAsia="Times New Roman" w:cs="Times New Roman" w:ascii="Times New Roman" w:hAnsi="Times New Roman"/>
          <w:b/>
          <w:bCs/>
          <w:sz w:val="24"/>
          <w:szCs w:val="24"/>
          <w:lang w:eastAsia="zh-CN"/>
        </w:rPr>
        <w:t>13. ЮРИДИЧЕСКИЕ АДРЕСА И РЕКВИЗИТЫ СТОРОН.</w:t>
      </w:r>
    </w:p>
    <w:p>
      <w:pPr>
        <w:pStyle w:val="Normal"/>
        <w:rPr/>
      </w:pPr>
      <w:r>
        <w:rPr/>
      </w:r>
    </w:p>
    <w:tbl>
      <w:tblPr>
        <w:tblW w:w="9425" w:type="dxa"/>
        <w:jc w:val="left"/>
        <w:tblInd w:w="109" w:type="dxa"/>
        <w:tblBorders/>
        <w:tblCellMar>
          <w:top w:w="0" w:type="dxa"/>
          <w:left w:w="108" w:type="dxa"/>
          <w:bottom w:w="0" w:type="dxa"/>
          <w:right w:w="108" w:type="dxa"/>
        </w:tblCellMar>
        <w:tblLook w:firstRow="0" w:noVBand="0" w:lastRow="0" w:firstColumn="0" w:lastColumn="0" w:noHBand="0" w:val="0000"/>
      </w:tblPr>
      <w:tblGrid>
        <w:gridCol w:w="4610"/>
        <w:gridCol w:w="4814"/>
      </w:tblGrid>
      <w:tr>
        <w:trPr>
          <w:trHeight w:val="367" w:hRule="atLeast"/>
        </w:trPr>
        <w:tc>
          <w:tcPr>
            <w:tcW w:w="9424" w:type="dxa"/>
            <w:gridSpan w:val="2"/>
            <w:tcBorders/>
            <w:shd w:color="auto" w:fill="auto" w:val="clear"/>
          </w:tcPr>
          <w:p>
            <w:pPr>
              <w:pStyle w:val="Normal"/>
              <w:snapToGrid w:val="false"/>
              <w:spacing w:lineRule="auto" w:line="240" w:before="0" w:after="200"/>
              <w:ind w:left="142" w:hanging="0"/>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Заказчик                                                                     Подрядчик                      </w:t>
            </w:r>
          </w:p>
        </w:tc>
      </w:tr>
      <w:tr>
        <w:trPr>
          <w:trHeight w:val="379" w:hRule="atLeast"/>
        </w:trPr>
        <w:tc>
          <w:tcPr>
            <w:tcW w:w="4610" w:type="dxa"/>
            <w:tcBorders/>
            <w:shd w:color="auto" w:fill="auto" w:val="clear"/>
          </w:tcPr>
          <w:p>
            <w:pPr>
              <w:pStyle w:val="Normal"/>
              <w:spacing w:lineRule="auto" w:line="240" w:before="0" w:after="200"/>
              <w:ind w:left="142" w:hanging="0"/>
              <w:jc w:val="center"/>
              <w:rPr>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rPr>
              <w:t>Администрация Погарского района</w:t>
            </w:r>
          </w:p>
        </w:tc>
        <w:tc>
          <w:tcPr>
            <w:tcW w:w="48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79" w:hRule="atLeast"/>
        </w:trPr>
        <w:tc>
          <w:tcPr>
            <w:tcW w:w="4610" w:type="dxa"/>
            <w:tcBorders/>
            <w:shd w:color="auto" w:fill="auto" w:val="clear"/>
          </w:tcPr>
          <w:p>
            <w:pPr>
              <w:pStyle w:val="Normal"/>
              <w:spacing w:lineRule="auto" w:line="240" w:before="0" w:after="200"/>
              <w:jc w:val="center"/>
              <w:rPr>
                <w:sz w:val="24"/>
                <w:szCs w:val="24"/>
              </w:rPr>
            </w:pPr>
            <w:r>
              <w:rPr>
                <w:rFonts w:cs="Times New Roman" w:ascii="Times New Roman" w:hAnsi="Times New Roman"/>
                <w:b/>
                <w:iCs/>
                <w:sz w:val="24"/>
                <w:szCs w:val="24"/>
              </w:rPr>
              <w:t>Брянской области</w:t>
            </w:r>
          </w:p>
        </w:tc>
        <w:tc>
          <w:tcPr>
            <w:tcW w:w="4814" w:type="dxa"/>
            <w:tcBorders/>
            <w:shd w:fill="auto" w:val="clear"/>
          </w:tcPr>
          <w:p>
            <w:pPr>
              <w:pStyle w:val="Normal"/>
              <w:spacing w:lineRule="auto" w:line="240" w:before="0" w:after="0"/>
              <w:ind w:lef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ООО «Погаравтодорстрой»</w:t>
            </w:r>
          </w:p>
        </w:tc>
      </w:tr>
      <w:tr>
        <w:trPr>
          <w:trHeight w:val="458" w:hRule="atLeast"/>
        </w:trPr>
        <w:tc>
          <w:tcPr>
            <w:tcW w:w="4610" w:type="dxa"/>
            <w:tcBorders/>
            <w:shd w:color="auto" w:fill="auto" w:val="clear"/>
          </w:tcPr>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Юридический адрес: 243550, Брянская       область, пгт.  Погар, ул. Ленина,1</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ИНН 3223000955</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КПП 325201001</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 xml:space="preserve">Расч.счет 40204810100000100326                         </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УФК по Брянской области (Администрация Погарского района л/сч 03273203740)</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Отделение Брянск</w:t>
            </w:r>
            <w:r>
              <w:rPr>
                <w:sz w:val="24"/>
                <w:szCs w:val="24"/>
              </w:rPr>
              <w:t xml:space="preserve">, </w:t>
            </w:r>
            <w:r>
              <w:rPr>
                <w:rFonts w:cs="Times New Roman" w:ascii="Times New Roman" w:hAnsi="Times New Roman"/>
                <w:sz w:val="24"/>
                <w:szCs w:val="24"/>
              </w:rPr>
              <w:t>г. Брянск</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 xml:space="preserve">БИК 041501001          </w:t>
            </w:r>
          </w:p>
          <w:p>
            <w:pPr>
              <w:pStyle w:val="Normal"/>
              <w:spacing w:lineRule="atLeast" w:line="240" w:before="0" w:after="0"/>
              <w:ind w:left="142" w:hanging="0"/>
              <w:rPr>
                <w:sz w:val="24"/>
                <w:szCs w:val="24"/>
              </w:rPr>
            </w:pPr>
            <w:r>
              <w:rPr>
                <w:sz w:val="24"/>
                <w:szCs w:val="24"/>
              </w:rPr>
            </w:r>
          </w:p>
        </w:tc>
        <w:tc>
          <w:tcPr>
            <w:tcW w:w="4814"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243550 Брянская обл., пгт.  Погар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Полевая, д.7А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 3252502438/325201001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 041501601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р/c 40702810908000002776 </w:t>
            </w:r>
          </w:p>
          <w:p>
            <w:pPr>
              <w:pStyle w:val="Normal"/>
              <w:spacing w:lineRule="auto" w:line="240" w:before="0" w:after="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Отделение № 8605 Сбербанка России в  г.Брянск                </w:t>
            </w:r>
          </w:p>
        </w:tc>
      </w:tr>
      <w:tr>
        <w:trPr>
          <w:trHeight w:val="430" w:hRule="atLeast"/>
        </w:trPr>
        <w:tc>
          <w:tcPr>
            <w:tcW w:w="4610" w:type="dxa"/>
            <w:tcBorders/>
            <w:shd w:color="auto" w:fill="auto" w:val="clear"/>
          </w:tcPr>
          <w:p>
            <w:pPr>
              <w:pStyle w:val="Normal"/>
              <w:spacing w:lineRule="atLeast" w:line="240" w:before="0" w:after="0"/>
              <w:ind w:left="142" w:hanging="0"/>
              <w:rPr>
                <w:sz w:val="24"/>
                <w:szCs w:val="24"/>
              </w:rPr>
            </w:pPr>
            <w:r>
              <w:rPr>
                <w:sz w:val="24"/>
                <w:szCs w:val="24"/>
              </w:rPr>
            </w:r>
          </w:p>
          <w:p>
            <w:pPr>
              <w:pStyle w:val="Normal"/>
              <w:spacing w:lineRule="atLeast" w:line="240" w:before="0" w:after="0"/>
              <w:ind w:left="142" w:hanging="0"/>
              <w:rPr>
                <w:sz w:val="24"/>
                <w:szCs w:val="24"/>
              </w:rPr>
            </w:pPr>
            <w:r>
              <w:rPr>
                <w:sz w:val="24"/>
                <w:szCs w:val="24"/>
              </w:rPr>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416" w:hRule="atLeast"/>
        </w:trPr>
        <w:tc>
          <w:tcPr>
            <w:tcW w:w="4610"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Глава администрации</w:t>
            </w:r>
          </w:p>
          <w:p>
            <w:pPr>
              <w:pStyle w:val="Normal"/>
              <w:suppressAutoHyphens w:val="true"/>
              <w:spacing w:lineRule="auto" w:line="240" w:before="0" w:after="0"/>
              <w:ind w:left="142" w:hanging="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Погарского района</w:t>
            </w:r>
          </w:p>
          <w:p>
            <w:pPr>
              <w:pStyle w:val="Normal"/>
              <w:spacing w:lineRule="auto" w:line="240"/>
              <w:ind w:left="142" w:hanging="0"/>
              <w:rPr>
                <w:sz w:val="24"/>
                <w:szCs w:val="24"/>
              </w:rPr>
            </w:pPr>
            <w:r>
              <w:rPr>
                <w:sz w:val="24"/>
                <w:szCs w:val="24"/>
              </w:rPr>
            </w:r>
          </w:p>
          <w:p>
            <w:pPr>
              <w:pStyle w:val="Normal"/>
              <w:suppressAutoHyphens w:val="true"/>
              <w:spacing w:lineRule="auto"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_________________/С.И.Цыганок/   </w:t>
            </w:r>
          </w:p>
          <w:p>
            <w:pPr>
              <w:pStyle w:val="Normal"/>
              <w:spacing w:lineRule="auto" w:line="240" w:before="0" w:after="200"/>
              <w:ind w:left="142" w:hanging="0"/>
              <w:rPr>
                <w:sz w:val="24"/>
                <w:szCs w:val="24"/>
              </w:rPr>
            </w:pPr>
            <w:r>
              <w:rPr>
                <w:rFonts w:eastAsia="Times New Roman" w:cs="Times New Roman" w:ascii="Times New Roman" w:hAnsi="Times New Roman"/>
                <w:sz w:val="24"/>
                <w:szCs w:val="24"/>
                <w:lang w:eastAsia="ar-SA"/>
              </w:rPr>
              <w:t>М.П.</w:t>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Генеральный директор  ООО</w:t>
            </w:r>
          </w:p>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«Погаравтодорстрой»</w:t>
            </w:r>
          </w:p>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_________________/C.И.Ласунова/</w:t>
            </w:r>
          </w:p>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м.п.</w:t>
            </w:r>
          </w:p>
        </w:tc>
      </w:tr>
      <w:tr>
        <w:trPr>
          <w:trHeight w:val="776" w:hRule="atLeast"/>
        </w:trPr>
        <w:tc>
          <w:tcPr>
            <w:tcW w:w="4610" w:type="dxa"/>
            <w:tcBorders/>
            <w:shd w:color="auto" w:fill="auto" w:val="clear"/>
          </w:tcPr>
          <w:p>
            <w:pPr>
              <w:pStyle w:val="Normal"/>
              <w:spacing w:lineRule="atLeast" w:line="240" w:before="0" w:after="200"/>
              <w:rPr>
                <w:sz w:val="24"/>
                <w:szCs w:val="24"/>
              </w:rPr>
            </w:pPr>
            <w:r>
              <w:rPr>
                <w:sz w:val="24"/>
                <w:szCs w:val="24"/>
              </w:rPr>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416" w:hRule="atLeast"/>
        </w:trPr>
        <w:tc>
          <w:tcPr>
            <w:tcW w:w="4610" w:type="dxa"/>
            <w:tcBorders/>
            <w:shd w:color="auto" w:fill="auto" w:val="clear"/>
          </w:tcPr>
          <w:p>
            <w:pPr>
              <w:pStyle w:val="Normal"/>
              <w:spacing w:lineRule="auto" w:line="240" w:before="0" w:after="200"/>
              <w:ind w:left="142" w:hanging="0"/>
              <w:rPr>
                <w:sz w:val="24"/>
                <w:szCs w:val="24"/>
              </w:rPr>
            </w:pPr>
            <w:r>
              <w:rPr>
                <w:sz w:val="24"/>
                <w:szCs w:val="24"/>
              </w:rPr>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391" w:hRule="atLeast"/>
        </w:trPr>
        <w:tc>
          <w:tcPr>
            <w:tcW w:w="4610" w:type="dxa"/>
            <w:tcBorders/>
            <w:shd w:color="auto" w:fill="auto" w:val="clear"/>
          </w:tcPr>
          <w:p>
            <w:pPr>
              <w:pStyle w:val="Normal"/>
              <w:spacing w:lineRule="auto" w:line="240" w:before="0" w:after="200"/>
              <w:ind w:left="142" w:hanging="0"/>
              <w:rPr>
                <w:sz w:val="24"/>
                <w:szCs w:val="24"/>
              </w:rPr>
            </w:pPr>
            <w:r>
              <w:rPr>
                <w:sz w:val="24"/>
                <w:szCs w:val="24"/>
              </w:rPr>
            </w:r>
          </w:p>
        </w:tc>
        <w:tc>
          <w:tcPr>
            <w:tcW w:w="4814" w:type="dxa"/>
            <w:tcBorders/>
            <w:shd w:fill="auto" w:val="clear"/>
          </w:tcPr>
          <w:p>
            <w:pPr>
              <w:pStyle w:val="Normal"/>
              <w:spacing w:lineRule="auto" w:line="240" w:before="0" w:after="20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67" w:hRule="atLeast"/>
        </w:trPr>
        <w:tc>
          <w:tcPr>
            <w:tcW w:w="4610" w:type="dxa"/>
            <w:tcBorders/>
            <w:shd w:color="auto" w:fill="auto" w:val="clear"/>
          </w:tcPr>
          <w:p>
            <w:pPr>
              <w:pStyle w:val="Normal"/>
              <w:snapToGrid w:val="false"/>
              <w:spacing w:lineRule="auto" w:line="240" w:before="0" w:after="200"/>
              <w:ind w:left="142" w:hanging="0"/>
              <w:rPr>
                <w:highlight w:val="yellow"/>
              </w:rPr>
            </w:pPr>
            <w:r>
              <w:rPr>
                <w:highlight w:val="yellow"/>
              </w:rPr>
            </w:r>
          </w:p>
        </w:tc>
        <w:tc>
          <w:tcPr>
            <w:tcW w:w="481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val="x-none" w:eastAsia="ru-RU"/>
              </w:rPr>
            </w:pPr>
            <w:r>
              <w:rPr>
                <w:rFonts w:eastAsia="Times New Roman" w:cs="Times New Roman" w:ascii="Times New Roman" w:hAnsi="Times New Roman"/>
                <w:sz w:val="24"/>
                <w:szCs w:val="24"/>
                <w:highlight w:val="yellow"/>
                <w:lang w:val="x-none" w:eastAsia="ru-RU"/>
              </w:rPr>
            </w:r>
          </w:p>
        </w:tc>
      </w:tr>
      <w:tr>
        <w:trPr>
          <w:trHeight w:val="80" w:hRule="atLeast"/>
        </w:trPr>
        <w:tc>
          <w:tcPr>
            <w:tcW w:w="4610" w:type="dxa"/>
            <w:tcBorders/>
            <w:shd w:color="auto" w:fill="auto" w:val="clear"/>
          </w:tcPr>
          <w:p>
            <w:pPr>
              <w:pStyle w:val="Normal"/>
              <w:snapToGrid w:val="false"/>
              <w:spacing w:lineRule="auto" w:line="240" w:before="0" w:after="200"/>
              <w:ind w:left="142" w:hanging="0"/>
              <w:rPr>
                <w:highlight w:val="yellow"/>
              </w:rPr>
            </w:pPr>
            <w:r>
              <w:rPr>
                <w:highlight w:val="yellow"/>
              </w:rPr>
            </w:r>
          </w:p>
        </w:tc>
        <w:tc>
          <w:tcPr>
            <w:tcW w:w="481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97" w:hRule="atLeast"/>
        </w:trPr>
        <w:tc>
          <w:tcPr>
            <w:tcW w:w="4610" w:type="dxa"/>
            <w:tcBorders/>
            <w:shd w:color="auto" w:fill="auto" w:val="clear"/>
          </w:tcPr>
          <w:p>
            <w:pPr>
              <w:pStyle w:val="Normal"/>
              <w:snapToGrid w:val="false"/>
              <w:spacing w:lineRule="auto" w:line="240" w:before="0" w:after="200"/>
              <w:ind w:left="142" w:hanging="0"/>
              <w:rPr/>
            </w:pPr>
            <w:r>
              <w:rPr/>
            </w:r>
          </w:p>
        </w:tc>
        <w:tc>
          <w:tcPr>
            <w:tcW w:w="481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067" w:hRule="atLeast"/>
        </w:trPr>
        <w:tc>
          <w:tcPr>
            <w:tcW w:w="4610" w:type="dxa"/>
            <w:tcBorders/>
            <w:shd w:color="auto" w:fill="auto" w:val="clear"/>
          </w:tcPr>
          <w:p>
            <w:pPr>
              <w:pStyle w:val="Normal"/>
              <w:spacing w:lineRule="auto" w:line="240"/>
              <w:ind w:left="142" w:hanging="0"/>
              <w:rPr>
                <w:rFonts w:ascii="Times New Roman" w:hAnsi="Times New Roman" w:cs="Times New Roman"/>
                <w:iCs/>
                <w:szCs w:val="24"/>
              </w:rPr>
            </w:pPr>
            <w:r>
              <w:rPr>
                <w:rFonts w:cs="Times New Roman" w:ascii="Times New Roman" w:hAnsi="Times New Roman"/>
                <w:iCs/>
                <w:szCs w:val="24"/>
              </w:rPr>
              <w:t xml:space="preserve">  </w:t>
            </w:r>
          </w:p>
          <w:p>
            <w:pPr>
              <w:pStyle w:val="Normal"/>
              <w:spacing w:lineRule="auto" w:line="240"/>
              <w:ind w:left="142" w:hanging="0"/>
              <w:rPr>
                <w:rFonts w:ascii="Times New Roman" w:hAnsi="Times New Roman" w:cs="Times New Roman"/>
                <w:iCs/>
                <w:szCs w:val="24"/>
              </w:rPr>
            </w:pPr>
            <w:r>
              <w:rPr>
                <w:rFonts w:cs="Times New Roman" w:ascii="Times New Roman" w:hAnsi="Times New Roman"/>
                <w:iCs/>
                <w:szCs w:val="24"/>
              </w:rPr>
            </w:r>
          </w:p>
          <w:p>
            <w:pPr>
              <w:pStyle w:val="Normal"/>
              <w:spacing w:lineRule="auto" w:line="240" w:before="0" w:after="200"/>
              <w:ind w:left="142" w:hanging="0"/>
              <w:rPr/>
            </w:pPr>
            <w:r>
              <w:rPr/>
            </w:r>
          </w:p>
        </w:tc>
        <w:tc>
          <w:tcPr>
            <w:tcW w:w="4814"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Приложение №1</w:t>
      </w:r>
    </w:p>
    <w:p>
      <w:pPr>
        <w:pStyle w:val="Normal"/>
        <w:spacing w:lineRule="auto" w:line="240"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к муниципальному контракту</w:t>
      </w:r>
    </w:p>
    <w:p>
      <w:pPr>
        <w:pStyle w:val="Normal"/>
        <w:spacing w:lineRule="auto" w:line="240" w:before="0" w:after="0"/>
        <w:ind w:firstLine="709"/>
        <w:jc w:val="right"/>
        <w:rPr>
          <w:rFonts w:ascii="Verdana" w:hAnsi="Verdana" w:eastAsia="Times New Roman" w:cs="Times New Roman"/>
          <w:color w:val="333333"/>
          <w:sz w:val="17"/>
          <w:szCs w:val="17"/>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 xml:space="preserve">0127300011417000028-0107131-01  </w:t>
      </w:r>
    </w:p>
    <w:p>
      <w:pPr>
        <w:pStyle w:val="Normal"/>
        <w:spacing w:lineRule="auto" w:line="240"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от «28» августа 2017 г.</w:t>
      </w:r>
    </w:p>
    <w:p>
      <w:pPr>
        <w:pStyle w:val="Normal"/>
        <w:keepNext/>
        <w:numPr>
          <w:ilvl w:val="0"/>
          <w:numId w:val="0"/>
        </w:numPr>
        <w:spacing w:lineRule="auto" w:line="240" w:before="0" w:after="0"/>
        <w:ind w:left="2832" w:firstLine="709"/>
        <w:jc w:val="both"/>
        <w:outlineLvl w:val="3"/>
        <w:rPr>
          <w:rFonts w:ascii="Times New Roman" w:hAnsi="Times New Roman" w:eastAsia="Times New Roman" w:cs="Times New Roman"/>
          <w:b/>
          <w:b/>
          <w:color w:val="000000"/>
          <w:lang w:eastAsia="x-none"/>
        </w:rPr>
      </w:pPr>
      <w:r>
        <w:rPr>
          <w:rFonts w:eastAsia="Times New Roman" w:cs="Times New Roman" w:ascii="Times New Roman" w:hAnsi="Times New Roman"/>
          <w:b/>
          <w:color w:val="000000"/>
          <w:lang w:val="x-none" w:eastAsia="x-none"/>
        </w:rPr>
        <w:t xml:space="preserve">             </w:t>
      </w:r>
    </w:p>
    <w:p>
      <w:pPr>
        <w:pStyle w:val="Normal"/>
        <w:keepNext/>
        <w:numPr>
          <w:ilvl w:val="0"/>
          <w:numId w:val="0"/>
        </w:numPr>
        <w:spacing w:lineRule="auto" w:line="240" w:before="0" w:after="0"/>
        <w:jc w:val="center"/>
        <w:outlineLvl w:val="3"/>
        <w:rPr>
          <w:rFonts w:ascii="Times New Roman" w:hAnsi="Times New Roman" w:eastAsia="Times New Roman" w:cs="Times New Roman"/>
          <w:b/>
          <w:b/>
          <w:bCs/>
          <w:lang w:eastAsia="x-none"/>
        </w:rPr>
      </w:pPr>
      <w:r>
        <w:rPr>
          <w:rFonts w:eastAsia="Times New Roman" w:cs="Times New Roman" w:ascii="Times New Roman" w:hAnsi="Times New Roman"/>
          <w:b/>
          <w:bCs/>
          <w:lang w:val="x-none" w:eastAsia="x-none"/>
        </w:rPr>
        <w:t>ВЕДОМОСТЬ ЦЕНЫ КОНТРАКТА</w:t>
      </w:r>
    </w:p>
    <w:p>
      <w:pPr>
        <w:pStyle w:val="Normal"/>
        <w:keepNext/>
        <w:numPr>
          <w:ilvl w:val="0"/>
          <w:numId w:val="0"/>
        </w:numPr>
        <w:spacing w:lineRule="auto" w:line="240" w:before="0" w:after="0"/>
        <w:ind w:left="2832" w:firstLine="709"/>
        <w:jc w:val="both"/>
        <w:outlineLvl w:val="3"/>
        <w:rPr>
          <w:rFonts w:ascii="Times New Roman" w:hAnsi="Times New Roman" w:eastAsia="Times New Roman" w:cs="Times New Roman"/>
          <w:b/>
          <w:b/>
          <w:bCs/>
          <w:lang w:eastAsia="x-none"/>
        </w:rPr>
      </w:pPr>
      <w:r>
        <w:rPr>
          <w:rFonts w:eastAsia="Times New Roman" w:cs="Times New Roman" w:ascii="Times New Roman" w:hAnsi="Times New Roman"/>
          <w:b/>
          <w:bCs/>
          <w:lang w:eastAsia="x-none"/>
        </w:rPr>
      </w:r>
    </w:p>
    <w:p>
      <w:pPr>
        <w:pStyle w:val="Normal"/>
        <w:tabs>
          <w:tab w:val="left" w:pos="0" w:leader="none"/>
        </w:tabs>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БЛАГОУСТРОЙСТВО ДВОРОВОЙ ТЕРРИТОРИИ: УЛ. ЖДАНОВА 1.</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6"/>
        <w:gridCol w:w="3956"/>
        <w:gridCol w:w="2302"/>
        <w:gridCol w:w="2799"/>
      </w:tblGrid>
      <w:tr>
        <w:trPr>
          <w:trHeight w:val="51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п/п</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Стоимость по ПСД (тыс. руб.)</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Контрактная цена, руб.</w:t>
            </w:r>
          </w:p>
        </w:tc>
      </w:tr>
      <w:tr>
        <w:trPr>
          <w:trHeight w:val="79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Благоустройство дворовой территории ул. Жданова д.1</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839819,00</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797828,05</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В т.ч.  НДС 18%</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128108,00</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______</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Итого</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35"/>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839819,00</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797828,00</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Цена Контракта определена по результатам электронного аукциона и составляет 797828,00</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(Семьсот девяносто семь тысяч восемьсот двадцать восемь рублей,00 копеек), НДС не облагается.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Стоимость   работ  по Контракту является твердой.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 финансирования: Бюджет Погарского городского поселения</w:t>
      </w:r>
    </w:p>
    <w:p>
      <w:pPr>
        <w:pStyle w:val="Normal"/>
        <w:spacing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средства областного бюджета в форме субсидии–757 936,65рублей, </w:t>
      </w:r>
    </w:p>
    <w:p>
      <w:pPr>
        <w:pStyle w:val="Normal"/>
        <w:spacing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КБК 916050302000</w:t>
      </w:r>
      <w:r>
        <w:rPr>
          <w:rFonts w:eastAsia="Times New Roman" w:cs="Times New Roman" w:ascii="Times New Roman" w:hAnsi="Times New Roman"/>
          <w:sz w:val="24"/>
          <w:szCs w:val="24"/>
          <w:lang w:val="en-US" w:eastAsia="ru-RU"/>
        </w:rPr>
        <w:t>R</w:t>
      </w:r>
      <w:r>
        <w:rPr>
          <w:rFonts w:eastAsia="Times New Roman" w:cs="Times New Roman" w:ascii="Times New Roman" w:hAnsi="Times New Roman"/>
          <w:sz w:val="24"/>
          <w:szCs w:val="24"/>
          <w:lang w:eastAsia="ru-RU"/>
        </w:rPr>
        <w:t>5550244</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средства Погарского городского поселения – 39 891,40 рублей,</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КБК 916050302000</w:t>
      </w:r>
      <w:r>
        <w:rPr>
          <w:rFonts w:eastAsia="Times New Roman" w:cs="Times New Roman" w:ascii="Times New Roman" w:hAnsi="Times New Roman"/>
          <w:sz w:val="24"/>
          <w:szCs w:val="24"/>
          <w:lang w:val="en-US" w:eastAsia="ru-RU"/>
        </w:rPr>
        <w:t>L</w:t>
      </w:r>
      <w:r>
        <w:rPr>
          <w:rFonts w:eastAsia="Times New Roman" w:cs="Times New Roman" w:ascii="Times New Roman" w:hAnsi="Times New Roman"/>
          <w:sz w:val="24"/>
          <w:szCs w:val="24"/>
          <w:lang w:eastAsia="ru-RU"/>
        </w:rPr>
        <w:t>5</w:t>
      </w:r>
      <w:bookmarkStart w:id="4" w:name="_GoBack"/>
      <w:bookmarkEnd w:id="4"/>
      <w:r>
        <w:rPr>
          <w:rFonts w:eastAsia="Times New Roman" w:cs="Times New Roman" w:ascii="Times New Roman" w:hAnsi="Times New Roman"/>
          <w:sz w:val="24"/>
          <w:szCs w:val="24"/>
          <w:lang w:eastAsia="ru-RU"/>
        </w:rPr>
        <w:t>550244</w:t>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Настоящая ведомость является основанием</w:t>
      </w:r>
      <w:r>
        <w:rPr>
          <w:rFonts w:eastAsia="Times New Roman" w:cs="Times New Roman" w:ascii="Times New Roman" w:hAnsi="Times New Roman"/>
          <w:bCs/>
          <w:sz w:val="24"/>
          <w:szCs w:val="24"/>
          <w:lang w:eastAsia="ru-RU"/>
        </w:rPr>
        <w:t xml:space="preserve"> для проведения взаимных расчетов и платежей между Подрядчиком и Заказчиком.</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p>
    <w:tbl>
      <w:tblPr>
        <w:tblW w:w="9425" w:type="dxa"/>
        <w:jc w:val="left"/>
        <w:tblInd w:w="109" w:type="dxa"/>
        <w:tblBorders/>
        <w:tblCellMar>
          <w:top w:w="0" w:type="dxa"/>
          <w:left w:w="108" w:type="dxa"/>
          <w:bottom w:w="0" w:type="dxa"/>
          <w:right w:w="108" w:type="dxa"/>
        </w:tblCellMar>
        <w:tblLook w:firstRow="0" w:noVBand="0" w:lastRow="0" w:firstColumn="0" w:lastColumn="0" w:noHBand="0" w:val="0000"/>
      </w:tblPr>
      <w:tblGrid>
        <w:gridCol w:w="4610"/>
        <w:gridCol w:w="4814"/>
      </w:tblGrid>
      <w:tr>
        <w:trPr>
          <w:trHeight w:val="367" w:hRule="atLeast"/>
        </w:trPr>
        <w:tc>
          <w:tcPr>
            <w:tcW w:w="9424" w:type="dxa"/>
            <w:gridSpan w:val="2"/>
            <w:tcBorders/>
            <w:shd w:color="auto" w:fill="auto" w:val="clear"/>
          </w:tcPr>
          <w:p>
            <w:pPr>
              <w:pStyle w:val="Normal"/>
              <w:snapToGrid w:val="false"/>
              <w:spacing w:lineRule="auto" w:line="240" w:before="0" w:after="200"/>
              <w:ind w:left="142" w:hanging="0"/>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Заказчик                                                                     Подрядчик                      </w:t>
            </w:r>
          </w:p>
        </w:tc>
      </w:tr>
      <w:tr>
        <w:trPr>
          <w:trHeight w:val="379" w:hRule="atLeast"/>
        </w:trPr>
        <w:tc>
          <w:tcPr>
            <w:tcW w:w="4610" w:type="dxa"/>
            <w:tcBorders/>
            <w:shd w:color="auto" w:fill="auto" w:val="clear"/>
          </w:tcPr>
          <w:p>
            <w:pPr>
              <w:pStyle w:val="Normal"/>
              <w:spacing w:lineRule="auto" w:line="240" w:before="0" w:after="200"/>
              <w:ind w:left="142" w:hanging="0"/>
              <w:rPr>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rPr>
              <w:t>Администрация Погарского района Брянской области</w:t>
            </w:r>
          </w:p>
        </w:tc>
        <w:tc>
          <w:tcPr>
            <w:tcW w:w="4814" w:type="dxa"/>
            <w:tcBorders/>
            <w:shd w:fill="auto" w:val="cle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ООО «Погаравтодорстрой»</w:t>
            </w:r>
          </w:p>
        </w:tc>
      </w:tr>
      <w:tr>
        <w:trPr>
          <w:trHeight w:val="379" w:hRule="atLeast"/>
        </w:trPr>
        <w:tc>
          <w:tcPr>
            <w:tcW w:w="4610" w:type="dxa"/>
            <w:tcBorders/>
            <w:shd w:color="auto" w:fill="auto" w:val="clear"/>
          </w:tcPr>
          <w:p>
            <w:pPr>
              <w:pStyle w:val="Normal"/>
              <w:spacing w:lineRule="auto" w:line="240" w:before="0" w:after="200"/>
              <w:rPr>
                <w:sz w:val="24"/>
                <w:szCs w:val="24"/>
              </w:rPr>
            </w:pPr>
            <w:r>
              <w:rPr>
                <w:sz w:val="24"/>
                <w:szCs w:val="24"/>
              </w:rPr>
            </w:r>
          </w:p>
        </w:tc>
        <w:tc>
          <w:tcPr>
            <w:tcW w:w="4814" w:type="dxa"/>
            <w:tcBorders/>
            <w:shd w:fill="auto" w:val="clear"/>
          </w:tcPr>
          <w:p>
            <w:pPr>
              <w:pStyle w:val="Normal"/>
              <w:spacing w:lineRule="auto" w:line="240" w:before="0" w:after="0"/>
              <w:ind w:lef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rHeight w:val="458" w:hRule="atLeast"/>
        </w:trPr>
        <w:tc>
          <w:tcPr>
            <w:tcW w:w="4610" w:type="dxa"/>
            <w:tcBorders/>
            <w:shd w:color="auto" w:fill="auto" w:val="clear"/>
          </w:tcPr>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Юридический адрес: 243550, Брянская       область, пгт.  Погар, ул. Ленина,1</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ИНН 3223000955</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КПП 325201001</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 xml:space="preserve">Расч.счет 40204810200000100326                         </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УФК по Брянской области (Администрация Погарского района л/сч 03273203740)</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Отделение Брянск</w:t>
            </w:r>
            <w:r>
              <w:rPr>
                <w:sz w:val="24"/>
                <w:szCs w:val="24"/>
              </w:rPr>
              <w:t xml:space="preserve">, </w:t>
            </w:r>
            <w:r>
              <w:rPr>
                <w:rFonts w:cs="Times New Roman" w:ascii="Times New Roman" w:hAnsi="Times New Roman"/>
                <w:sz w:val="24"/>
                <w:szCs w:val="24"/>
              </w:rPr>
              <w:t>г. Брянск</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 xml:space="preserve">БИК 041501001          </w:t>
            </w:r>
          </w:p>
        </w:tc>
        <w:tc>
          <w:tcPr>
            <w:tcW w:w="4814"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243550 Брянская обл., пгт.  Погар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Полевая, д.7А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 3252502438/325201001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 041501601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р/c 40702810908000002776 </w:t>
            </w:r>
          </w:p>
          <w:p>
            <w:pPr>
              <w:pStyle w:val="Normal"/>
              <w:spacing w:lineRule="auto" w:line="240" w:before="0" w:after="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Отделение № 8605 Сбербанка России в  г.Брянск                </w:t>
            </w:r>
          </w:p>
        </w:tc>
      </w:tr>
      <w:tr>
        <w:trPr>
          <w:trHeight w:val="430" w:hRule="atLeast"/>
        </w:trPr>
        <w:tc>
          <w:tcPr>
            <w:tcW w:w="4610" w:type="dxa"/>
            <w:tcBorders/>
            <w:shd w:color="auto" w:fill="auto" w:val="clear"/>
          </w:tcPr>
          <w:p>
            <w:pPr>
              <w:pStyle w:val="Normal"/>
              <w:spacing w:lineRule="atLeast" w:line="240" w:before="0" w:after="0"/>
              <w:rPr>
                <w:sz w:val="24"/>
                <w:szCs w:val="24"/>
              </w:rPr>
            </w:pPr>
            <w:r>
              <w:rPr>
                <w:sz w:val="24"/>
                <w:szCs w:val="24"/>
              </w:rPr>
            </w:r>
          </w:p>
        </w:tc>
        <w:tc>
          <w:tcPr>
            <w:tcW w:w="4814" w:type="dxa"/>
            <w:tcBorders/>
            <w:shd w:fill="auto" w:val="clear"/>
          </w:tcPr>
          <w:p>
            <w:pPr>
              <w:pStyle w:val="Normal"/>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416" w:hRule="atLeast"/>
        </w:trPr>
        <w:tc>
          <w:tcPr>
            <w:tcW w:w="4610"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Глава администрации</w:t>
            </w:r>
          </w:p>
          <w:p>
            <w:pPr>
              <w:pStyle w:val="Normal"/>
              <w:suppressAutoHyphens w:val="true"/>
              <w:spacing w:lineRule="auto" w:line="240" w:before="0" w:after="0"/>
              <w:ind w:left="142" w:hanging="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Погарского района</w:t>
            </w:r>
          </w:p>
          <w:p>
            <w:pPr>
              <w:pStyle w:val="Normal"/>
              <w:spacing w:lineRule="auto" w:line="240"/>
              <w:ind w:left="142" w:hanging="0"/>
              <w:rPr>
                <w:sz w:val="24"/>
                <w:szCs w:val="24"/>
              </w:rPr>
            </w:pPr>
            <w:r>
              <w:rPr>
                <w:sz w:val="24"/>
                <w:szCs w:val="24"/>
              </w:rPr>
            </w:r>
          </w:p>
          <w:p>
            <w:pPr>
              <w:pStyle w:val="Normal"/>
              <w:suppressAutoHyphens w:val="true"/>
              <w:spacing w:lineRule="auto"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_________________/С.И.Цыганок/   </w:t>
            </w:r>
          </w:p>
          <w:p>
            <w:pPr>
              <w:pStyle w:val="Normal"/>
              <w:spacing w:lineRule="auto" w:line="240" w:before="0" w:after="200"/>
              <w:ind w:left="142" w:hanging="0"/>
              <w:rPr>
                <w:sz w:val="24"/>
                <w:szCs w:val="24"/>
              </w:rPr>
            </w:pPr>
            <w:r>
              <w:rPr>
                <w:rFonts w:eastAsia="Times New Roman" w:cs="Times New Roman" w:ascii="Times New Roman" w:hAnsi="Times New Roman"/>
                <w:sz w:val="24"/>
                <w:szCs w:val="24"/>
                <w:lang w:eastAsia="ar-SA"/>
              </w:rPr>
              <w:t>М.П.</w:t>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Генеральный директор  ООО</w:t>
            </w:r>
          </w:p>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«Погаравтодорстрой»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_________________/C.И.Ласунова/</w:t>
            </w:r>
          </w:p>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м.п.</w:t>
            </w:r>
          </w:p>
        </w:tc>
      </w:tr>
      <w:tr>
        <w:trPr>
          <w:trHeight w:val="776" w:hRule="atLeast"/>
        </w:trPr>
        <w:tc>
          <w:tcPr>
            <w:tcW w:w="4610" w:type="dxa"/>
            <w:tcBorders/>
            <w:shd w:color="auto" w:fill="auto" w:val="clear"/>
          </w:tcPr>
          <w:p>
            <w:pPr>
              <w:pStyle w:val="Normal"/>
              <w:spacing w:lineRule="atLeast" w:line="240" w:before="0" w:after="200"/>
              <w:rPr>
                <w:sz w:val="24"/>
                <w:szCs w:val="24"/>
              </w:rPr>
            </w:pPr>
            <w:r>
              <w:rPr>
                <w:sz w:val="24"/>
                <w:szCs w:val="24"/>
              </w:rPr>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bl>
    <w:p>
      <w:pPr>
        <w:pStyle w:val="Normal"/>
        <w:widowControl/>
        <w:bidi w:val="0"/>
        <w:spacing w:lineRule="auto" w:line="276" w:before="0" w:after="200"/>
        <w:jc w:val="left"/>
        <w:rPr/>
      </w:pPr>
      <w:r>
        <w:rPr/>
      </w:r>
    </w:p>
    <w:sectPr>
      <w:type w:val="nextPage"/>
      <w:pgSz w:w="11906" w:h="16838"/>
      <w:pgMar w:left="1418" w:right="850" w:header="0" w:top="426"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1d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410e1"/>
    <w:rPr>
      <w:rFonts w:ascii="Tahoma" w:hAnsi="Tahoma" w:cs="Tahoma"/>
      <w:sz w:val="16"/>
      <w:szCs w:val="16"/>
    </w:rPr>
  </w:style>
  <w:style w:type="character" w:styleId="ListLabel1">
    <w:name w:val="ListLabel 1"/>
    <w:qFormat/>
    <w:rPr>
      <w:sz w:val="24"/>
      <w:szCs w:val="24"/>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d410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consultantplus://offline/ref=39E0E7362A45C4433E4F1BD00F3EDC3DC7793FE518144C037FB7CA6DB85351E9BFB17B722DDCB164k5IEI" TargetMode="External"/><Relationship Id="rId6" Type="http://schemas.openxmlformats.org/officeDocument/2006/relationships/hyperlink" Target="consultantplus://offline/ref=39E0E7362A45C4433E4F1BD00F3EDC3DC7793FE518144C037FB7CA6DB85351E9BFB17B722DDDB762k5I3I" TargetMode="External"/><Relationship Id="rId7" Type="http://schemas.openxmlformats.org/officeDocument/2006/relationships/hyperlink" Target="consultantplus://offline/ref=39E0E7362A45C4433E4F1BD00F3EDC3DC7793CE61C174C037FB7CA6DB85351E9BFB17B722DDCB467k5IE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LibreOffice/5.1.3.2$Windows_x86 LibreOffice_project/644e4637d1d8544fd9f56425bd6cec110e49301b</Application>
  <Pages>12</Pages>
  <Words>4720</Words>
  <Characters>33466</Characters>
  <CharactersWithSpaces>38539</CharactersWithSpaces>
  <Paragraphs>246</Paragraphs>
  <Company>Администрация Погарского района Брянской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2017-07-26T06:00:00Z</dcterms:created>
  <dc:creator>Верховинина Татьяна Викторовна</dc:creator>
  <dc:description/>
  <dc:language>ru-RU</dc:language>
  <cp:lastModifiedBy/>
  <cp:lastPrinted>2017-08-29T13:10:00Z</cp:lastPrinted>
  <dcterms:modified xsi:type="dcterms:W3CDTF">2018-09-14T15:42:38Z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 Брянской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